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12" w:rsidRDefault="007C5112" w:rsidP="007C5112">
      <w:pPr>
        <w:pStyle w:val="Heading4"/>
        <w:rPr>
          <w:rFonts w:eastAsia="Times New Roman"/>
        </w:rPr>
      </w:pPr>
      <w:r>
        <w:rPr>
          <w:rFonts w:eastAsia="Times New Roman"/>
        </w:rPr>
        <w:t>WSAA Member Alert</w:t>
      </w:r>
    </w:p>
    <w:p w:rsidR="007C5112" w:rsidRDefault="007C5112" w:rsidP="007C5112">
      <w:pPr>
        <w:pStyle w:val="h4"/>
        <w:spacing w:after="240"/>
        <w:rPr>
          <w:sz w:val="20"/>
          <w:szCs w:val="20"/>
        </w:rPr>
      </w:pPr>
      <w:r>
        <w:rPr>
          <w:sz w:val="20"/>
          <w:szCs w:val="20"/>
        </w:rPr>
        <w:t xml:space="preserve">A new announcement has been added to the WSAA Extranet site </w:t>
      </w:r>
      <w:hyperlink r:id="rId6" w:tooltip="Click to goto the site" w:history="1">
        <w:r>
          <w:rPr>
            <w:rStyle w:val="Hyperlink"/>
            <w:b w:val="0"/>
            <w:bCs w:val="0"/>
            <w:color w:val="336699"/>
            <w:sz w:val="20"/>
            <w:szCs w:val="20"/>
          </w:rPr>
          <w:t>https://members.wsaa.asn.au/AssetManagement/COP/IPAM/IPAMProductAppraisals/default.aspx</w:t>
        </w:r>
      </w:hyperlink>
      <w:r>
        <w:rPr>
          <w:sz w:val="20"/>
          <w:szCs w:val="20"/>
        </w:rPr>
        <w:t>.</w:t>
      </w:r>
      <w:r>
        <w:rPr>
          <w:sz w:val="20"/>
          <w:szCs w:val="20"/>
        </w:rPr>
        <w:br/>
      </w:r>
      <w:r>
        <w:rPr>
          <w:sz w:val="20"/>
          <w:szCs w:val="20"/>
          <w:u w:val="single"/>
        </w:rPr>
        <w:br/>
      </w:r>
      <w:r>
        <w:rPr>
          <w:rStyle w:val="Strong"/>
          <w:b/>
          <w:bCs/>
          <w:sz w:val="20"/>
          <w:szCs w:val="20"/>
          <w:u w:val="single"/>
        </w:rPr>
        <w:t xml:space="preserve">Notification of Publication of WSAA Product Appraisal Reports No PA 1324 ACO </w:t>
      </w:r>
      <w:proofErr w:type="spellStart"/>
      <w:r>
        <w:rPr>
          <w:rStyle w:val="Strong"/>
          <w:b/>
          <w:bCs/>
          <w:sz w:val="20"/>
          <w:szCs w:val="20"/>
          <w:u w:val="single"/>
        </w:rPr>
        <w:t>Polycrete</w:t>
      </w:r>
      <w:proofErr w:type="spellEnd"/>
      <w:r>
        <w:rPr>
          <w:rStyle w:val="Strong"/>
          <w:b/>
          <w:bCs/>
          <w:sz w:val="20"/>
          <w:szCs w:val="20"/>
          <w:u w:val="single"/>
        </w:rPr>
        <w:t xml:space="preserve"> Pty Ltd - SAKU Access Cover and Frame</w:t>
      </w:r>
    </w:p>
    <w:p w:rsidR="007C5112" w:rsidRDefault="007C5112" w:rsidP="007C5112">
      <w:pPr>
        <w:pStyle w:val="NormalWeb"/>
        <w:spacing w:line="360" w:lineRule="auto"/>
        <w:rPr>
          <w:rFonts w:ascii="Arial" w:hAnsi="Arial" w:cs="Arial"/>
          <w:color w:val="505050"/>
          <w:sz w:val="21"/>
          <w:szCs w:val="21"/>
        </w:rPr>
      </w:pPr>
      <w:r>
        <w:rPr>
          <w:rFonts w:ascii="Arial" w:hAnsi="Arial" w:cs="Arial"/>
          <w:color w:val="505050"/>
          <w:sz w:val="21"/>
          <w:szCs w:val="21"/>
        </w:rPr>
        <w:t>​</w:t>
      </w:r>
      <w:r>
        <w:rPr>
          <w:rFonts w:ascii="Arial" w:hAnsi="Arial" w:cs="Arial"/>
          <w:color w:val="505050"/>
          <w:sz w:val="20"/>
          <w:szCs w:val="20"/>
        </w:rPr>
        <w:t>Dear IPAM Members,</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xml:space="preserve">WSAA Product Appraisal Report No PA 1324 for the ACO </w:t>
      </w:r>
      <w:proofErr w:type="spellStart"/>
      <w:r>
        <w:rPr>
          <w:rFonts w:ascii="Arial" w:hAnsi="Arial" w:cs="Arial"/>
          <w:color w:val="505050"/>
          <w:sz w:val="20"/>
          <w:szCs w:val="20"/>
        </w:rPr>
        <w:t>Polycrete</w:t>
      </w:r>
      <w:proofErr w:type="spellEnd"/>
      <w:r>
        <w:rPr>
          <w:rFonts w:ascii="Arial" w:hAnsi="Arial" w:cs="Arial"/>
          <w:color w:val="505050"/>
          <w:sz w:val="20"/>
          <w:szCs w:val="20"/>
        </w:rPr>
        <w:t xml:space="preserve"> Pty Ltd - SAKU Access Cover and Frame has been published and can be downloaded from the WSAA website. </w:t>
      </w:r>
      <w:hyperlink r:id="rId7" w:history="1">
        <w:r>
          <w:rPr>
            <w:rStyle w:val="Hyperlink"/>
            <w:sz w:val="20"/>
            <w:szCs w:val="20"/>
          </w:rPr>
          <w:t xml:space="preserve">Click here </w:t>
        </w:r>
      </w:hyperlink>
      <w:r>
        <w:rPr>
          <w:rFonts w:ascii="Arial" w:hAnsi="Arial" w:cs="Arial"/>
          <w:color w:val="505050"/>
          <w:sz w:val="20"/>
          <w:szCs w:val="20"/>
        </w:rPr>
        <w:t xml:space="preserve">to download a copy of the Report.  Details for the above applications have been posted on the IPAM Network site within the Members area. </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xml:space="preserve">The SAKU Access Cover and Frame has demonstrated compliance with WSA PS-293 – Thermoplastic Access Covers and Frames for Water Supply and Sewerage to </w:t>
      </w:r>
      <w:proofErr w:type="spellStart"/>
      <w:r>
        <w:rPr>
          <w:rFonts w:ascii="Arial" w:hAnsi="Arial" w:cs="Arial"/>
          <w:color w:val="505050"/>
          <w:sz w:val="20"/>
          <w:szCs w:val="20"/>
        </w:rPr>
        <w:t>prEN</w:t>
      </w:r>
      <w:proofErr w:type="spellEnd"/>
      <w:r>
        <w:rPr>
          <w:rFonts w:ascii="Arial" w:hAnsi="Arial" w:cs="Arial"/>
          <w:color w:val="505050"/>
          <w:sz w:val="20"/>
          <w:szCs w:val="20"/>
        </w:rPr>
        <w:t xml:space="preserve"> 124-6:2014.2(E) with described variations (See Appendix ‘B’).</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The SAKU thermoplastic circular cover is:</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 xml:space="preserve">Rated Class ‘B’ </w:t>
      </w:r>
      <w:proofErr w:type="spellStart"/>
      <w:r>
        <w:rPr>
          <w:rFonts w:ascii="Arial" w:hAnsi="Arial" w:cs="Arial"/>
          <w:color w:val="505050"/>
          <w:sz w:val="20"/>
          <w:szCs w:val="20"/>
        </w:rPr>
        <w:t>wrt</w:t>
      </w:r>
      <w:proofErr w:type="spellEnd"/>
      <w:r>
        <w:rPr>
          <w:rFonts w:ascii="Arial" w:hAnsi="Arial" w:cs="Arial"/>
          <w:color w:val="505050"/>
          <w:sz w:val="20"/>
          <w:szCs w:val="20"/>
        </w:rPr>
        <w:t xml:space="preserve"> AS 3996 and Class ‘B125’ </w:t>
      </w:r>
      <w:proofErr w:type="spellStart"/>
      <w:r>
        <w:rPr>
          <w:rFonts w:ascii="Arial" w:hAnsi="Arial" w:cs="Arial"/>
          <w:color w:val="505050"/>
          <w:sz w:val="20"/>
          <w:szCs w:val="20"/>
        </w:rPr>
        <w:t>prEN</w:t>
      </w:r>
      <w:proofErr w:type="spellEnd"/>
      <w:r>
        <w:rPr>
          <w:rFonts w:ascii="Arial" w:hAnsi="Arial" w:cs="Arial"/>
          <w:color w:val="505050"/>
          <w:sz w:val="20"/>
          <w:szCs w:val="20"/>
        </w:rPr>
        <w:t xml:space="preserve"> 124-6.</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Lightweight (8.3 kg) which benefits WHS to minimise lifting injuries.</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Manufactured from polypropylene with 30% short glass fibres and 2% carbon black for UV resistance.</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Durable and resistant to corrosive environments such as sewer and seaside applications.</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Elevated temperature tested.</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Sustained load tested.</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Impact tested.</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Slip rated for pedestrian safety.</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Bolted down to frame with A4 M12 stainless steel hex-head bolts with removable plastic plugs.</w:t>
      </w:r>
    </w:p>
    <w:p w:rsidR="007C5112" w:rsidRDefault="007C5112" w:rsidP="007C5112">
      <w:pPr>
        <w:numPr>
          <w:ilvl w:val="0"/>
          <w:numId w:val="1"/>
        </w:numPr>
        <w:spacing w:before="100" w:beforeAutospacing="1" w:after="100" w:afterAutospacing="1" w:line="360" w:lineRule="auto"/>
        <w:ind w:hanging="510"/>
        <w:rPr>
          <w:rFonts w:ascii="Arial" w:hAnsi="Arial" w:cs="Arial"/>
          <w:color w:val="505050"/>
          <w:sz w:val="20"/>
          <w:szCs w:val="20"/>
        </w:rPr>
      </w:pPr>
      <w:r>
        <w:rPr>
          <w:rFonts w:ascii="Arial" w:hAnsi="Arial" w:cs="Arial"/>
          <w:color w:val="505050"/>
          <w:sz w:val="20"/>
          <w:szCs w:val="20"/>
        </w:rPr>
        <w:t>Fitted with a single industry standard AS 3996 lift point with a removable plastic cover.</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The SAKU Class ‘B’ Access Cover and Frame is suitable for sewerage installations, including maintenance holes, maintenance chambers, maintenance shafts and inspection openings and also water supply covers including valve or scour chambers. Although not included in this appraisal, ACO also supply optional HDPE riser rings to provide incremental height adjustment to suit surface changes.</w:t>
      </w:r>
    </w:p>
    <w:p w:rsidR="007C5112" w:rsidRDefault="007C5112" w:rsidP="007C5112">
      <w:pPr>
        <w:spacing w:line="360" w:lineRule="auto"/>
        <w:rPr>
          <w:rFonts w:ascii="Arial" w:hAnsi="Arial" w:cs="Arial"/>
          <w:color w:val="505050"/>
          <w:sz w:val="20"/>
          <w:szCs w:val="20"/>
        </w:rPr>
      </w:pPr>
      <w:r>
        <w:rPr>
          <w:rFonts w:ascii="Arial" w:hAnsi="Arial" w:cs="Arial"/>
          <w:color w:val="505050"/>
          <w:sz w:val="20"/>
          <w:szCs w:val="20"/>
        </w:rPr>
        <w:t> </w:t>
      </w:r>
    </w:p>
    <w:p w:rsidR="007C5112" w:rsidRDefault="007C5112" w:rsidP="007C5112">
      <w:pPr>
        <w:spacing w:line="360" w:lineRule="auto"/>
        <w:rPr>
          <w:rFonts w:ascii="Arial" w:hAnsi="Arial" w:cs="Arial"/>
          <w:color w:val="505050"/>
          <w:sz w:val="20"/>
          <w:szCs w:val="20"/>
        </w:rPr>
      </w:pPr>
      <w:hyperlink r:id="rId8" w:history="1">
        <w:r>
          <w:rPr>
            <w:rStyle w:val="Hyperlink"/>
            <w:sz w:val="20"/>
            <w:szCs w:val="20"/>
          </w:rPr>
          <w:t>Click here</w:t>
        </w:r>
      </w:hyperlink>
      <w:r>
        <w:rPr>
          <w:rFonts w:ascii="Arial" w:hAnsi="Arial" w:cs="Arial"/>
          <w:color w:val="505050"/>
          <w:sz w:val="20"/>
          <w:szCs w:val="20"/>
        </w:rPr>
        <w:t xml:space="preserve"> to access other supporting documents and the discussion forum established for PA 1324.</w:t>
      </w:r>
      <w:bookmarkStart w:id="0" w:name="_GoBack"/>
      <w:bookmarkEnd w:id="0"/>
      <w:r>
        <w:rPr>
          <w:rFonts w:ascii="Arial" w:hAnsi="Arial" w:cs="Arial"/>
          <w:color w:val="505050"/>
          <w:sz w:val="20"/>
          <w:szCs w:val="20"/>
        </w:rPr>
        <w:t> </w:t>
      </w:r>
    </w:p>
    <w:sectPr w:rsidR="007C5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F5FAD"/>
    <w:multiLevelType w:val="multilevel"/>
    <w:tmpl w:val="6DF86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12"/>
    <w:rsid w:val="006212EE"/>
    <w:rsid w:val="007C5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12"/>
    <w:pPr>
      <w:spacing w:after="0" w:line="240" w:lineRule="auto"/>
    </w:pPr>
    <w:rPr>
      <w:rFonts w:ascii="Times New Roman" w:hAnsi="Times New Roman" w:cs="Times New Roman"/>
      <w:sz w:val="24"/>
      <w:szCs w:val="24"/>
      <w:lang w:eastAsia="en-AU"/>
    </w:rPr>
  </w:style>
  <w:style w:type="paragraph" w:styleId="Heading4">
    <w:name w:val="heading 4"/>
    <w:basedOn w:val="Normal"/>
    <w:link w:val="Heading4Char"/>
    <w:uiPriority w:val="9"/>
    <w:semiHidden/>
    <w:unhideWhenUsed/>
    <w:qFormat/>
    <w:rsid w:val="007C5112"/>
    <w:pPr>
      <w:spacing w:after="150"/>
      <w:outlineLvl w:val="3"/>
    </w:pPr>
    <w:rPr>
      <w:rFonts w:ascii="Arial"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5112"/>
    <w:rPr>
      <w:rFonts w:ascii="Arial" w:hAnsi="Arial" w:cs="Arial"/>
      <w:b/>
      <w:bCs/>
      <w:color w:val="202020"/>
      <w:sz w:val="33"/>
      <w:szCs w:val="33"/>
      <w:lang w:eastAsia="en-AU"/>
    </w:rPr>
  </w:style>
  <w:style w:type="character" w:styleId="Hyperlink">
    <w:name w:val="Hyperlink"/>
    <w:basedOn w:val="DefaultParagraphFont"/>
    <w:uiPriority w:val="99"/>
    <w:semiHidden/>
    <w:unhideWhenUsed/>
    <w:rsid w:val="007C5112"/>
    <w:rPr>
      <w:color w:val="0000FF"/>
      <w:u w:val="single"/>
    </w:rPr>
  </w:style>
  <w:style w:type="paragraph" w:styleId="NormalWeb">
    <w:name w:val="Normal (Web)"/>
    <w:basedOn w:val="Normal"/>
    <w:uiPriority w:val="99"/>
    <w:semiHidden/>
    <w:unhideWhenUsed/>
    <w:rsid w:val="007C5112"/>
    <w:pPr>
      <w:spacing w:before="100" w:beforeAutospacing="1" w:after="100" w:afterAutospacing="1"/>
    </w:pPr>
  </w:style>
  <w:style w:type="paragraph" w:customStyle="1" w:styleId="h4">
    <w:name w:val="h4"/>
    <w:basedOn w:val="Normal"/>
    <w:uiPriority w:val="99"/>
    <w:semiHidden/>
    <w:rsid w:val="007C5112"/>
    <w:pPr>
      <w:spacing w:after="150"/>
    </w:pPr>
    <w:rPr>
      <w:rFonts w:ascii="Arial" w:hAnsi="Arial" w:cs="Arial"/>
      <w:b/>
      <w:bCs/>
      <w:color w:val="202020"/>
      <w:sz w:val="33"/>
      <w:szCs w:val="33"/>
    </w:rPr>
  </w:style>
  <w:style w:type="character" w:styleId="Strong">
    <w:name w:val="Strong"/>
    <w:basedOn w:val="DefaultParagraphFont"/>
    <w:uiPriority w:val="22"/>
    <w:qFormat/>
    <w:rsid w:val="007C5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12"/>
    <w:pPr>
      <w:spacing w:after="0" w:line="240" w:lineRule="auto"/>
    </w:pPr>
    <w:rPr>
      <w:rFonts w:ascii="Times New Roman" w:hAnsi="Times New Roman" w:cs="Times New Roman"/>
      <w:sz w:val="24"/>
      <w:szCs w:val="24"/>
      <w:lang w:eastAsia="en-AU"/>
    </w:rPr>
  </w:style>
  <w:style w:type="paragraph" w:styleId="Heading4">
    <w:name w:val="heading 4"/>
    <w:basedOn w:val="Normal"/>
    <w:link w:val="Heading4Char"/>
    <w:uiPriority w:val="9"/>
    <w:semiHidden/>
    <w:unhideWhenUsed/>
    <w:qFormat/>
    <w:rsid w:val="007C5112"/>
    <w:pPr>
      <w:spacing w:after="150"/>
      <w:outlineLvl w:val="3"/>
    </w:pPr>
    <w:rPr>
      <w:rFonts w:ascii="Arial"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5112"/>
    <w:rPr>
      <w:rFonts w:ascii="Arial" w:hAnsi="Arial" w:cs="Arial"/>
      <w:b/>
      <w:bCs/>
      <w:color w:val="202020"/>
      <w:sz w:val="33"/>
      <w:szCs w:val="33"/>
      <w:lang w:eastAsia="en-AU"/>
    </w:rPr>
  </w:style>
  <w:style w:type="character" w:styleId="Hyperlink">
    <w:name w:val="Hyperlink"/>
    <w:basedOn w:val="DefaultParagraphFont"/>
    <w:uiPriority w:val="99"/>
    <w:semiHidden/>
    <w:unhideWhenUsed/>
    <w:rsid w:val="007C5112"/>
    <w:rPr>
      <w:color w:val="0000FF"/>
      <w:u w:val="single"/>
    </w:rPr>
  </w:style>
  <w:style w:type="paragraph" w:styleId="NormalWeb">
    <w:name w:val="Normal (Web)"/>
    <w:basedOn w:val="Normal"/>
    <w:uiPriority w:val="99"/>
    <w:semiHidden/>
    <w:unhideWhenUsed/>
    <w:rsid w:val="007C5112"/>
    <w:pPr>
      <w:spacing w:before="100" w:beforeAutospacing="1" w:after="100" w:afterAutospacing="1"/>
    </w:pPr>
  </w:style>
  <w:style w:type="paragraph" w:customStyle="1" w:styleId="h4">
    <w:name w:val="h4"/>
    <w:basedOn w:val="Normal"/>
    <w:uiPriority w:val="99"/>
    <w:semiHidden/>
    <w:rsid w:val="007C5112"/>
    <w:pPr>
      <w:spacing w:after="150"/>
    </w:pPr>
    <w:rPr>
      <w:rFonts w:ascii="Arial" w:hAnsi="Arial" w:cs="Arial"/>
      <w:b/>
      <w:bCs/>
      <w:color w:val="202020"/>
      <w:sz w:val="33"/>
      <w:szCs w:val="33"/>
    </w:rPr>
  </w:style>
  <w:style w:type="character" w:styleId="Strong">
    <w:name w:val="Strong"/>
    <w:basedOn w:val="DefaultParagraphFont"/>
    <w:uiPriority w:val="22"/>
    <w:qFormat/>
    <w:rsid w:val="007C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setManagement/COP/IPAM/IPAMProductAppraisals/PA1324ACOPolycretePtyLtdThermoplasticSakuAccessCovers/SitePages/Home.aspx" TargetMode="External"/><Relationship Id="rId3" Type="http://schemas.microsoft.com/office/2007/relationships/stylesWithEffects" Target="stylesWithEffects.xml"/><Relationship Id="rId7" Type="http://schemas.openxmlformats.org/officeDocument/2006/relationships/hyperlink" Target="https://www.wsaa.asn.au/ProductAppraisals/Appraisals/ACO%20Polycrete%20Pty%20Ltd%20-%20SAKU%20Access%20Cover%20and%20Fra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wsaa.asn.au/AssetManagement/COP/IPAM/IPAMProductAppraisals/defaul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Sordo</dc:creator>
  <cp:lastModifiedBy>John Sordo</cp:lastModifiedBy>
  <cp:revision>1</cp:revision>
  <dcterms:created xsi:type="dcterms:W3CDTF">2015-02-20T02:53:00Z</dcterms:created>
  <dcterms:modified xsi:type="dcterms:W3CDTF">2015-02-20T02:54:00Z</dcterms:modified>
</cp:coreProperties>
</file>